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F1" w:rsidRPr="00337BF1" w:rsidRDefault="00337BF1" w:rsidP="00337BF1">
      <w:pPr>
        <w:shd w:val="clear" w:color="auto" w:fill="FFFFFF"/>
        <w:spacing w:after="0" w:line="432" w:lineRule="atLeast"/>
        <w:textAlignment w:val="baseline"/>
        <w:outlineLvl w:val="2"/>
        <w:rPr>
          <w:rFonts w:ascii="Helvetica" w:eastAsia="Times New Roman" w:hAnsi="Helvetica" w:cs="Helvetica"/>
          <w:noProof/>
          <w:color w:val="00512F"/>
          <w:sz w:val="36"/>
          <w:szCs w:val="36"/>
        </w:rPr>
      </w:pPr>
      <w:r w:rsidRPr="00337BF1">
        <w:rPr>
          <w:rFonts w:ascii="Helvetica" w:eastAsia="Times New Roman" w:hAnsi="Helvetica" w:cs="Helvetica"/>
          <w:noProof/>
          <w:color w:val="00512F"/>
          <w:sz w:val="36"/>
          <w:szCs w:val="36"/>
        </w:rPr>
        <w:t>Trials</w:t>
      </w:r>
    </w:p>
    <w:p w:rsidR="00337BF1" w:rsidRPr="00337BF1" w:rsidRDefault="00337BF1" w:rsidP="00337BF1">
      <w:pPr>
        <w:shd w:val="clear" w:color="auto" w:fill="FFFFFF"/>
        <w:spacing w:after="0" w:line="312" w:lineRule="atLeast"/>
        <w:textAlignment w:val="baseline"/>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Visit the U Health</w:t>
      </w:r>
      <w:r w:rsidRPr="00337BF1">
        <w:rPr>
          <w:rFonts w:ascii="Helvetica" w:eastAsia="Times New Roman" w:hAnsi="Helvetica" w:cs="Helvetica"/>
          <w:noProof/>
          <w:color w:val="626262"/>
          <w:sz w:val="20"/>
        </w:rPr>
        <w:t> </w:t>
      </w:r>
      <w:hyperlink r:id="rId4" w:history="1">
        <w:r w:rsidRPr="00337BF1">
          <w:rPr>
            <w:rFonts w:ascii="Helvetica" w:eastAsia="Times New Roman" w:hAnsi="Helvetica" w:cs="Helvetica"/>
            <w:noProof/>
            <w:color w:val="ED6018"/>
            <w:sz w:val="20"/>
          </w:rPr>
          <w:t>clinical trial website</w:t>
        </w:r>
      </w:hyperlink>
      <w:r w:rsidRPr="00337BF1">
        <w:rPr>
          <w:rFonts w:ascii="Helvetica" w:eastAsia="Times New Roman" w:hAnsi="Helvetica" w:cs="Helvetica"/>
          <w:noProof/>
          <w:color w:val="626262"/>
          <w:sz w:val="20"/>
        </w:rPr>
        <w:t> </w:t>
      </w:r>
      <w:r w:rsidRPr="00337BF1">
        <w:rPr>
          <w:rFonts w:ascii="Helvetica" w:eastAsia="Times New Roman" w:hAnsi="Helvetica" w:cs="Helvetica"/>
          <w:noProof/>
          <w:color w:val="626262"/>
          <w:sz w:val="20"/>
          <w:szCs w:val="20"/>
        </w:rPr>
        <w:t>for information on all active trials in the U Health system.</w:t>
      </w:r>
    </w:p>
    <w:p w:rsidR="00337BF1" w:rsidRPr="00337BF1" w:rsidRDefault="00337BF1" w:rsidP="00337BF1">
      <w:pPr>
        <w:shd w:val="clear" w:color="auto" w:fill="FFFFFF"/>
        <w:spacing w:before="150" w:after="150" w:line="312" w:lineRule="atLeast"/>
        <w:textAlignment w:val="baseline"/>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Below is a list of all our current trials:</w:t>
      </w:r>
    </w:p>
    <w:tbl>
      <w:tblPr>
        <w:tblW w:w="7185" w:type="dxa"/>
        <w:shd w:val="clear" w:color="auto" w:fill="FFFFFF"/>
        <w:tblCellMar>
          <w:left w:w="0" w:type="dxa"/>
          <w:right w:w="0" w:type="dxa"/>
        </w:tblCellMar>
        <w:tblLook w:val="04A0"/>
      </w:tblPr>
      <w:tblGrid>
        <w:gridCol w:w="1537"/>
        <w:gridCol w:w="3249"/>
        <w:gridCol w:w="1040"/>
        <w:gridCol w:w="1359"/>
      </w:tblGrid>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EDEDED"/>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b/>
                <w:bCs/>
                <w:noProof/>
                <w:color w:val="626262"/>
                <w:sz w:val="20"/>
                <w:szCs w:val="20"/>
              </w:rPr>
            </w:pPr>
            <w:r w:rsidRPr="00337BF1">
              <w:rPr>
                <w:rFonts w:ascii="Helvetica" w:eastAsia="Times New Roman" w:hAnsi="Helvetica" w:cs="Helvetica"/>
                <w:b/>
                <w:bCs/>
                <w:noProof/>
                <w:color w:val="626262"/>
                <w:sz w:val="20"/>
                <w:szCs w:val="20"/>
              </w:rPr>
              <w:t>Enrollment Status</w:t>
            </w:r>
          </w:p>
        </w:tc>
        <w:tc>
          <w:tcPr>
            <w:tcW w:w="0" w:type="auto"/>
            <w:tcBorders>
              <w:top w:val="single" w:sz="6" w:space="0" w:color="C3C3C3"/>
              <w:left w:val="single" w:sz="6" w:space="0" w:color="C3C3C3"/>
              <w:bottom w:val="single" w:sz="6" w:space="0" w:color="C3C3C3"/>
              <w:right w:val="single" w:sz="6" w:space="0" w:color="C3C3C3"/>
            </w:tcBorders>
            <w:shd w:val="clear" w:color="auto" w:fill="EDEDED"/>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b/>
                <w:bCs/>
                <w:noProof/>
                <w:color w:val="626262"/>
                <w:sz w:val="20"/>
                <w:szCs w:val="20"/>
              </w:rPr>
            </w:pPr>
            <w:r w:rsidRPr="00337BF1">
              <w:rPr>
                <w:rFonts w:ascii="Helvetica" w:eastAsia="Times New Roman" w:hAnsi="Helvetica" w:cs="Helvetica"/>
                <w:b/>
                <w:bCs/>
                <w:noProof/>
                <w:color w:val="626262"/>
                <w:sz w:val="20"/>
                <w:szCs w:val="20"/>
              </w:rPr>
              <w:t>Study Title</w:t>
            </w:r>
          </w:p>
        </w:tc>
        <w:tc>
          <w:tcPr>
            <w:tcW w:w="0" w:type="auto"/>
            <w:tcBorders>
              <w:top w:val="single" w:sz="6" w:space="0" w:color="C3C3C3"/>
              <w:left w:val="single" w:sz="6" w:space="0" w:color="C3C3C3"/>
              <w:bottom w:val="single" w:sz="6" w:space="0" w:color="C3C3C3"/>
              <w:right w:val="single" w:sz="6" w:space="0" w:color="C3C3C3"/>
            </w:tcBorders>
            <w:shd w:val="clear" w:color="auto" w:fill="EDEDED"/>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b/>
                <w:bCs/>
                <w:noProof/>
                <w:color w:val="626262"/>
                <w:sz w:val="20"/>
                <w:szCs w:val="20"/>
              </w:rPr>
            </w:pPr>
            <w:r w:rsidRPr="00337BF1">
              <w:rPr>
                <w:rFonts w:ascii="Helvetica" w:eastAsia="Times New Roman" w:hAnsi="Helvetica" w:cs="Helvetica"/>
                <w:b/>
                <w:bCs/>
                <w:noProof/>
                <w:color w:val="626262"/>
                <w:sz w:val="20"/>
                <w:szCs w:val="20"/>
              </w:rPr>
              <w:t>Phase</w:t>
            </w:r>
          </w:p>
        </w:tc>
        <w:tc>
          <w:tcPr>
            <w:tcW w:w="0" w:type="auto"/>
            <w:tcBorders>
              <w:top w:val="single" w:sz="6" w:space="0" w:color="C3C3C3"/>
              <w:left w:val="single" w:sz="6" w:space="0" w:color="C3C3C3"/>
              <w:bottom w:val="single" w:sz="6" w:space="0" w:color="C3C3C3"/>
              <w:right w:val="single" w:sz="6" w:space="0" w:color="C3C3C3"/>
            </w:tcBorders>
            <w:shd w:val="clear" w:color="auto" w:fill="EDEDED"/>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b/>
                <w:bCs/>
                <w:noProof/>
                <w:color w:val="626262"/>
                <w:sz w:val="20"/>
                <w:szCs w:val="20"/>
              </w:rPr>
            </w:pPr>
            <w:r w:rsidRPr="00337BF1">
              <w:rPr>
                <w:rFonts w:ascii="Helvetica" w:eastAsia="Times New Roman" w:hAnsi="Helvetica" w:cs="Helvetica"/>
                <w:b/>
                <w:bCs/>
                <w:noProof/>
                <w:color w:val="626262"/>
                <w:sz w:val="20"/>
                <w:szCs w:val="20"/>
              </w:rPr>
              <w:t>Contact</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Active, Enrolling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Poseidon</w:t>
            </w:r>
            <w:r w:rsidRPr="00337BF1">
              <w:rPr>
                <w:rFonts w:ascii="Helvetica" w:eastAsia="Times New Roman" w:hAnsi="Helvetica" w:cs="Helvetica"/>
                <w:noProof/>
                <w:color w:val="626262"/>
                <w:sz w:val="20"/>
              </w:rPr>
              <w:t> DCM</w:t>
            </w:r>
            <w:r w:rsidRPr="00337BF1">
              <w:rPr>
                <w:rFonts w:ascii="Helvetica" w:eastAsia="Times New Roman" w:hAnsi="Helvetica" w:cs="Helvetica"/>
                <w:noProof/>
                <w:color w:val="626262"/>
                <w:sz w:val="20"/>
                <w:szCs w:val="20"/>
              </w:rPr>
              <w:t>: A Phase I/II Randomized Pilot Study of the Comparative Safety and Efficacy of Transendocardial Injection of Autologous Mesenchymal Stem Cells Versus Allogeneic Mesenchymal Stem Cells in Patients With Nonischemic Dilated Cardiomyopathy.</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I/II</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Active, Enrolling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Trident: A Phase I/II Study of the Safety and Efficacy of Transendocardial Injection of Allogeneic Mesenchymal Stem Cells in Patients With Chronic Ischemic Left Ventricular Dysfunction Secondary to Myocardial Infarction.</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II</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Active, Enrolling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Aether: A Phase I, Randomized, Blinded and Placebo-controlled Trial to Evaluate the Safety, Tolerability, and Potential Efficacy of Allogeneic Human Mesenchymal Stem Cell Infusion in Patients with Idiopathic Pulmonary Fibrosis.</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I</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Active, Enrolling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 xml:space="preserve">Cratus: A Phase I/II, Randomized, Blinded and Placebo-controlled Trial to Evaluate the Safety and Potential Efficacy of Allogeneic </w:t>
            </w:r>
            <w:r w:rsidRPr="00337BF1">
              <w:rPr>
                <w:rFonts w:ascii="Helvetica" w:eastAsia="Times New Roman" w:hAnsi="Helvetica" w:cs="Helvetica"/>
                <w:noProof/>
                <w:color w:val="626262"/>
                <w:sz w:val="20"/>
                <w:szCs w:val="20"/>
              </w:rPr>
              <w:lastRenderedPageBreak/>
              <w:t>Human Mesenchymal Stem Cell Infusion in Patients with Aging Frailty.</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lastRenderedPageBreak/>
              <w:t>I/II</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lastRenderedPageBreak/>
              <w:t>Active, Enrolling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Endothelial: Studying Endothelial Function and Endothelial Progenitor Stem Cells’ Colonies before and after Heart Mesenchymal Stem Cell Transplantation</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N/A</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Active, Enrolling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Gene expression and profilling cardiomyopathy.</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N/A</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Active, Not Yet Recruiting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rPr>
              <w:t>TAC</w:t>
            </w:r>
            <w:r w:rsidRPr="00337BF1">
              <w:rPr>
                <w:rFonts w:ascii="Helvetica" w:eastAsia="Times New Roman" w:hAnsi="Helvetica" w:cs="Helvetica"/>
                <w:noProof/>
                <w:color w:val="626262"/>
                <w:sz w:val="20"/>
                <w:szCs w:val="20"/>
              </w:rPr>
              <w:t>-</w:t>
            </w:r>
            <w:r w:rsidRPr="00337BF1">
              <w:rPr>
                <w:rFonts w:ascii="Helvetica" w:eastAsia="Times New Roman" w:hAnsi="Helvetica" w:cs="Helvetica"/>
                <w:noProof/>
                <w:color w:val="626262"/>
                <w:sz w:val="20"/>
              </w:rPr>
              <w:t>HFT </w:t>
            </w:r>
            <w:r w:rsidRPr="00337BF1">
              <w:rPr>
                <w:rFonts w:ascii="Helvetica" w:eastAsia="Times New Roman" w:hAnsi="Helvetica" w:cs="Helvetica"/>
                <w:noProof/>
                <w:color w:val="626262"/>
                <w:sz w:val="20"/>
                <w:szCs w:val="20"/>
              </w:rPr>
              <w:t>II: Phase I/II Study of the Safety and Efficacy of Transendocardial Injection of Autologous Human Cells (Mesenchymal or the combination of</w:t>
            </w:r>
            <w:r w:rsidRPr="00337BF1">
              <w:rPr>
                <w:rFonts w:ascii="Helvetica" w:eastAsia="Times New Roman" w:hAnsi="Helvetica" w:cs="Helvetica"/>
                <w:noProof/>
                <w:color w:val="626262"/>
                <w:sz w:val="20"/>
              </w:rPr>
              <w:t> MSC </w:t>
            </w:r>
            <w:r w:rsidRPr="00337BF1">
              <w:rPr>
                <w:rFonts w:ascii="Helvetica" w:eastAsia="Times New Roman" w:hAnsi="Helvetica" w:cs="Helvetica"/>
                <w:noProof/>
                <w:color w:val="626262"/>
                <w:sz w:val="20"/>
                <w:szCs w:val="20"/>
              </w:rPr>
              <w:t>and Cardiac Stem Cells) in Patients with Chronic Ischemic Left Ventricular Dysfunction and Heart Failure Secondary to Myocardial Infraction.</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I/II</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Not Yet Recruiting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 Phase I, Pilot Trial to evaluate the Safety and Efficacy of Injection of Allogeneic Mesenchymal Bone-Marrow Derived Human Stem Cells in Patients With Fistulizing Crohn’s Disease.</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I</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Not Yet Recruiting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Poseidon II: A Phase II, Randomized-Blind Study Testing the Efficacy of Transendocardial Injection of Allogeneic Mesenchymal Stem Cells in Patients With Chronic Ischemic Cardiomyopathy.</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II</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lastRenderedPageBreak/>
              <w:t>Enrollment Complete</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Prometheus: A phase I/II, randomized, double-blinded, placebo-controlled study of the safety and efficacy of intramyocardial injection of autologous human mesenchymal stem cells (</w:t>
            </w:r>
            <w:r w:rsidRPr="00337BF1">
              <w:rPr>
                <w:rFonts w:ascii="Helvetica" w:eastAsia="Times New Roman" w:hAnsi="Helvetica" w:cs="Helvetica"/>
                <w:noProof/>
                <w:color w:val="626262"/>
                <w:sz w:val="20"/>
              </w:rPr>
              <w:t>MSC</w:t>
            </w:r>
            <w:r w:rsidRPr="00337BF1">
              <w:rPr>
                <w:rFonts w:ascii="Helvetica" w:eastAsia="Times New Roman" w:hAnsi="Helvetica" w:cs="Helvetica"/>
                <w:noProof/>
                <w:color w:val="626262"/>
                <w:sz w:val="20"/>
                <w:szCs w:val="20"/>
              </w:rPr>
              <w:t>s) in patients with chronic ischemic left ventricular dysfunction secondary to myocardial infraction (MI) undergoing cardiac surgery for coronary artery bypass grafting (</w:t>
            </w:r>
            <w:r w:rsidRPr="00337BF1">
              <w:rPr>
                <w:rFonts w:ascii="Helvetica" w:eastAsia="Times New Roman" w:hAnsi="Helvetica" w:cs="Helvetica"/>
                <w:noProof/>
                <w:color w:val="626262"/>
                <w:sz w:val="20"/>
              </w:rPr>
              <w:t>CABG</w:t>
            </w:r>
            <w:r w:rsidRPr="00337BF1">
              <w:rPr>
                <w:rFonts w:ascii="Helvetica" w:eastAsia="Times New Roman" w:hAnsi="Helvetica" w:cs="Helvetica"/>
                <w:noProof/>
                <w:color w:val="626262"/>
                <w:sz w:val="20"/>
                <w:szCs w:val="20"/>
              </w:rPr>
              <w:t>).</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I/II</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Enrollment Complete</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rPr>
              <w:t>TAC</w:t>
            </w:r>
            <w:r w:rsidRPr="00337BF1">
              <w:rPr>
                <w:rFonts w:ascii="Helvetica" w:eastAsia="Times New Roman" w:hAnsi="Helvetica" w:cs="Helvetica"/>
                <w:noProof/>
                <w:color w:val="626262"/>
                <w:sz w:val="20"/>
                <w:szCs w:val="20"/>
              </w:rPr>
              <w:t>-</w:t>
            </w:r>
            <w:r w:rsidRPr="00337BF1">
              <w:rPr>
                <w:rFonts w:ascii="Helvetica" w:eastAsia="Times New Roman" w:hAnsi="Helvetica" w:cs="Helvetica"/>
                <w:noProof/>
                <w:color w:val="626262"/>
                <w:sz w:val="20"/>
              </w:rPr>
              <w:t>HFT</w:t>
            </w:r>
            <w:r w:rsidRPr="00337BF1">
              <w:rPr>
                <w:rFonts w:ascii="Helvetica" w:eastAsia="Times New Roman" w:hAnsi="Helvetica" w:cs="Helvetica"/>
                <w:noProof/>
                <w:color w:val="626262"/>
                <w:sz w:val="20"/>
                <w:szCs w:val="20"/>
              </w:rPr>
              <w:t>: A Phase I/II, Randomized, Double-Blinded, Placebo-Controlled Study of the Safety and Efficacy of Transendocardial Injection of Autologous Human Cells (Bone Marrow or Mesenchymal) in Patients With Chronic Ischemic Left Ventricular Dysfunction and Heart Failure Secondary to Myocardial Infarction.The Transendocardial Autologous Cells (hMSC or hBMC) in Ischemic Heart Failure Trial.</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I/II</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Enrollment Complete</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 xml:space="preserve">A Phase I/II, randomized pilot study of the comparative safety and efficacy of transendocardial injection of autologous mesenchymal stem cells versus allogeneic mesenchymal stem cells in patients with chronic ischemic left ventricular dysfunction secondary to myocardial infraction. The precutaneous stem cell injection delivery </w:t>
            </w:r>
            <w:r w:rsidRPr="00337BF1">
              <w:rPr>
                <w:rFonts w:ascii="Helvetica" w:eastAsia="Times New Roman" w:hAnsi="Helvetica" w:cs="Helvetica"/>
                <w:noProof/>
                <w:color w:val="626262"/>
                <w:sz w:val="20"/>
                <w:szCs w:val="20"/>
              </w:rPr>
              <w:lastRenderedPageBreak/>
              <w:t>effects on neomyogenesis Pilot study.</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lastRenderedPageBreak/>
              <w:t>I/II</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lastRenderedPageBreak/>
              <w:t>Active, Enrolling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rPr>
              <w:t>RECOVER</w:t>
            </w:r>
            <w:r w:rsidRPr="00337BF1">
              <w:rPr>
                <w:rFonts w:ascii="Helvetica" w:eastAsia="Times New Roman" w:hAnsi="Helvetica" w:cs="Helvetica"/>
                <w:noProof/>
                <w:color w:val="626262"/>
                <w:sz w:val="20"/>
                <w:szCs w:val="20"/>
              </w:rPr>
              <w:t>-Stroke: A Phase II Randomized, Controlled Study with a Phase 1 Safety Cohort testing</w:t>
            </w:r>
            <w:r w:rsidRPr="00337BF1">
              <w:rPr>
                <w:rFonts w:ascii="Helvetica" w:eastAsia="Times New Roman" w:hAnsi="Helvetica" w:cs="Helvetica"/>
                <w:noProof/>
                <w:color w:val="626262"/>
                <w:sz w:val="20"/>
              </w:rPr>
              <w:t> ALD</w:t>
            </w:r>
            <w:r w:rsidRPr="00337BF1">
              <w:rPr>
                <w:rFonts w:ascii="Helvetica" w:eastAsia="Times New Roman" w:hAnsi="Helvetica" w:cs="Helvetica"/>
                <w:noProof/>
                <w:color w:val="626262"/>
                <w:sz w:val="20"/>
                <w:szCs w:val="20"/>
              </w:rPr>
              <w:t>-401 derived from Autologous Bone Marrow Delivered via Intracarotid Infusion in Subjects with Ischemic Stroke using Blinded Assessments</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II</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Phillip Gonzalez 305-243-3958</w:t>
            </w:r>
          </w:p>
        </w:tc>
      </w:tr>
      <w:tr w:rsidR="00337BF1" w:rsidRPr="00337BF1" w:rsidTr="00337BF1">
        <w:tc>
          <w:tcPr>
            <w:tcW w:w="0" w:type="auto"/>
            <w:gridSpan w:val="4"/>
            <w:tcBorders>
              <w:top w:val="single" w:sz="6" w:space="0" w:color="C3C3C3"/>
              <w:left w:val="single" w:sz="6" w:space="0" w:color="C3C3C3"/>
              <w:bottom w:val="single" w:sz="6" w:space="0" w:color="C3C3C3"/>
              <w:right w:val="single" w:sz="6" w:space="0" w:color="C3C3C3"/>
            </w:tcBorders>
            <w:shd w:val="clear" w:color="auto" w:fill="EDEDED"/>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b/>
                <w:bCs/>
                <w:noProof/>
                <w:color w:val="626262"/>
                <w:sz w:val="20"/>
                <w:szCs w:val="20"/>
              </w:rPr>
            </w:pPr>
            <w:r w:rsidRPr="00337BF1">
              <w:rPr>
                <w:rFonts w:ascii="Helvetica" w:eastAsia="Times New Roman" w:hAnsi="Helvetica" w:cs="Helvetica"/>
                <w:b/>
                <w:bCs/>
                <w:noProof/>
                <w:color w:val="626262"/>
                <w:sz w:val="20"/>
                <w:szCs w:val="20"/>
              </w:rPr>
              <w:t>Multi-Centered Clinical Trials</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EDEDED"/>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b/>
                <w:bCs/>
                <w:noProof/>
                <w:color w:val="626262"/>
                <w:sz w:val="20"/>
                <w:szCs w:val="20"/>
              </w:rPr>
            </w:pPr>
            <w:r w:rsidRPr="00337BF1">
              <w:rPr>
                <w:rFonts w:ascii="Helvetica" w:eastAsia="Times New Roman" w:hAnsi="Helvetica" w:cs="Helvetica"/>
                <w:b/>
                <w:bCs/>
                <w:noProof/>
                <w:color w:val="626262"/>
                <w:sz w:val="20"/>
                <w:szCs w:val="20"/>
              </w:rPr>
              <w:t>Enrollment Status</w:t>
            </w:r>
          </w:p>
        </w:tc>
        <w:tc>
          <w:tcPr>
            <w:tcW w:w="0" w:type="auto"/>
            <w:tcBorders>
              <w:top w:val="single" w:sz="6" w:space="0" w:color="C3C3C3"/>
              <w:left w:val="single" w:sz="6" w:space="0" w:color="C3C3C3"/>
              <w:bottom w:val="single" w:sz="6" w:space="0" w:color="C3C3C3"/>
              <w:right w:val="single" w:sz="6" w:space="0" w:color="C3C3C3"/>
            </w:tcBorders>
            <w:shd w:val="clear" w:color="auto" w:fill="EDEDED"/>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b/>
                <w:bCs/>
                <w:noProof/>
                <w:color w:val="626262"/>
                <w:sz w:val="20"/>
                <w:szCs w:val="20"/>
              </w:rPr>
            </w:pPr>
            <w:r w:rsidRPr="00337BF1">
              <w:rPr>
                <w:rFonts w:ascii="Helvetica" w:eastAsia="Times New Roman" w:hAnsi="Helvetica" w:cs="Helvetica"/>
                <w:b/>
                <w:bCs/>
                <w:noProof/>
                <w:color w:val="626262"/>
                <w:sz w:val="20"/>
                <w:szCs w:val="20"/>
              </w:rPr>
              <w:t>Study Title</w:t>
            </w:r>
          </w:p>
        </w:tc>
        <w:tc>
          <w:tcPr>
            <w:tcW w:w="0" w:type="auto"/>
            <w:tcBorders>
              <w:top w:val="single" w:sz="6" w:space="0" w:color="C3C3C3"/>
              <w:left w:val="single" w:sz="6" w:space="0" w:color="C3C3C3"/>
              <w:bottom w:val="single" w:sz="6" w:space="0" w:color="C3C3C3"/>
              <w:right w:val="single" w:sz="6" w:space="0" w:color="C3C3C3"/>
            </w:tcBorders>
            <w:shd w:val="clear" w:color="auto" w:fill="EDEDED"/>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b/>
                <w:bCs/>
                <w:noProof/>
                <w:color w:val="626262"/>
                <w:sz w:val="20"/>
                <w:szCs w:val="20"/>
              </w:rPr>
            </w:pPr>
            <w:r w:rsidRPr="00337BF1">
              <w:rPr>
                <w:rFonts w:ascii="Helvetica" w:eastAsia="Times New Roman" w:hAnsi="Helvetica" w:cs="Helvetica"/>
                <w:b/>
                <w:bCs/>
                <w:noProof/>
                <w:color w:val="626262"/>
                <w:sz w:val="20"/>
                <w:szCs w:val="20"/>
              </w:rPr>
              <w:t>Phase</w:t>
            </w:r>
          </w:p>
        </w:tc>
        <w:tc>
          <w:tcPr>
            <w:tcW w:w="0" w:type="auto"/>
            <w:tcBorders>
              <w:top w:val="single" w:sz="6" w:space="0" w:color="C3C3C3"/>
              <w:left w:val="single" w:sz="6" w:space="0" w:color="C3C3C3"/>
              <w:bottom w:val="single" w:sz="6" w:space="0" w:color="C3C3C3"/>
              <w:right w:val="single" w:sz="6" w:space="0" w:color="C3C3C3"/>
            </w:tcBorders>
            <w:shd w:val="clear" w:color="auto" w:fill="EDEDED"/>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b/>
                <w:bCs/>
                <w:noProof/>
                <w:color w:val="626262"/>
                <w:sz w:val="20"/>
                <w:szCs w:val="20"/>
              </w:rPr>
            </w:pPr>
            <w:r w:rsidRPr="00337BF1">
              <w:rPr>
                <w:rFonts w:ascii="Helvetica" w:eastAsia="Times New Roman" w:hAnsi="Helvetica" w:cs="Helvetica"/>
                <w:b/>
                <w:bCs/>
                <w:noProof/>
                <w:color w:val="626262"/>
                <w:sz w:val="20"/>
                <w:szCs w:val="20"/>
              </w:rPr>
              <w:t>Contact</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Active, Enrolling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rPr>
              <w:t>PACE </w:t>
            </w:r>
            <w:r w:rsidRPr="00337BF1">
              <w:rPr>
                <w:rFonts w:ascii="Helvetica" w:eastAsia="Times New Roman" w:hAnsi="Helvetica" w:cs="Helvetica"/>
                <w:noProof/>
                <w:color w:val="626262"/>
                <w:sz w:val="20"/>
                <w:szCs w:val="20"/>
              </w:rPr>
              <w:t>(</w:t>
            </w:r>
            <w:r w:rsidRPr="00337BF1">
              <w:rPr>
                <w:rFonts w:ascii="Helvetica" w:eastAsia="Times New Roman" w:hAnsi="Helvetica" w:cs="Helvetica"/>
                <w:noProof/>
                <w:color w:val="626262"/>
                <w:sz w:val="20"/>
              </w:rPr>
              <w:t>CCTRN</w:t>
            </w:r>
            <w:r w:rsidRPr="00337BF1">
              <w:rPr>
                <w:rFonts w:ascii="Helvetica" w:eastAsia="Times New Roman" w:hAnsi="Helvetica" w:cs="Helvetica"/>
                <w:noProof/>
                <w:color w:val="626262"/>
                <w:sz w:val="20"/>
                <w:szCs w:val="20"/>
              </w:rPr>
              <w:t>): Clinical and MR Imaging Assessments in Patients with Intermittent Claudication following Injection of Bone Marrow Derived</w:t>
            </w:r>
            <w:r w:rsidRPr="00337BF1">
              <w:rPr>
                <w:rFonts w:ascii="Helvetica" w:eastAsia="Times New Roman" w:hAnsi="Helvetica" w:cs="Helvetica"/>
                <w:noProof/>
                <w:color w:val="626262"/>
                <w:sz w:val="20"/>
              </w:rPr>
              <w:t> ALDH</w:t>
            </w:r>
            <w:r w:rsidRPr="00337BF1">
              <w:rPr>
                <w:rFonts w:ascii="Helvetica" w:eastAsia="Times New Roman" w:hAnsi="Helvetica" w:cs="Helvetica"/>
                <w:noProof/>
                <w:color w:val="626262"/>
                <w:sz w:val="20"/>
                <w:szCs w:val="20"/>
              </w:rPr>
              <w:t>Bright Cells.</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N/A</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Active, Enrolling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Aastrom: 55-1202-1: A Multicenter, Randomized, Double-Blind, Placebo-Controlled, Parallel Group Study to Evaluate the Efficacy, Safety and Tolerability of Transendocardial Injection of Ixmyelocel-T in Subjects with Heart Failure Due to Ischemic Dilated Cardiomyopathy (</w:t>
            </w:r>
            <w:r w:rsidRPr="00337BF1">
              <w:rPr>
                <w:rFonts w:ascii="Helvetica" w:eastAsia="Times New Roman" w:hAnsi="Helvetica" w:cs="Helvetica"/>
                <w:noProof/>
                <w:color w:val="626262"/>
                <w:sz w:val="20"/>
              </w:rPr>
              <w:t>IDCM</w:t>
            </w:r>
            <w:r w:rsidRPr="00337BF1">
              <w:rPr>
                <w:rFonts w:ascii="Helvetica" w:eastAsia="Times New Roman" w:hAnsi="Helvetica" w:cs="Helvetica"/>
                <w:noProof/>
                <w:color w:val="626262"/>
                <w:sz w:val="20"/>
                <w:szCs w:val="20"/>
              </w:rPr>
              <w:t>)</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2b</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r w:rsidR="00337BF1" w:rsidRPr="00337BF1" w:rsidTr="00337BF1">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Active, Enrolling</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rPr>
              <w:t>CELL</w:t>
            </w:r>
            <w:r w:rsidRPr="00337BF1">
              <w:rPr>
                <w:rFonts w:ascii="Helvetica" w:eastAsia="Times New Roman" w:hAnsi="Helvetica" w:cs="Helvetica"/>
                <w:noProof/>
                <w:color w:val="626262"/>
                <w:sz w:val="20"/>
                <w:szCs w:val="20"/>
              </w:rPr>
              <w:t xml:space="preserve">-004: A Phase 2/3, Double-Blind, Placebo-Controlled, Multinational, Multicenter, Randomized Study Evaluating the Safety and Efficacy of Intracoronary </w:t>
            </w:r>
            <w:r w:rsidRPr="00337BF1">
              <w:rPr>
                <w:rFonts w:ascii="Helvetica" w:eastAsia="Times New Roman" w:hAnsi="Helvetica" w:cs="Helvetica"/>
                <w:noProof/>
                <w:color w:val="626262"/>
                <w:sz w:val="20"/>
                <w:szCs w:val="20"/>
              </w:rPr>
              <w:lastRenderedPageBreak/>
              <w:t>Administration of MYDICAR® (AAV1/SERCA2a) in Subjects with Heart Failure.</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lastRenderedPageBreak/>
              <w:t>2b</w:t>
            </w:r>
          </w:p>
        </w:tc>
        <w:tc>
          <w:tcPr>
            <w:tcW w:w="0" w:type="auto"/>
            <w:tcBorders>
              <w:top w:val="single" w:sz="6" w:space="0" w:color="C3C3C3"/>
              <w:left w:val="single" w:sz="6" w:space="0" w:color="C3C3C3"/>
              <w:bottom w:val="single" w:sz="6" w:space="0" w:color="C3C3C3"/>
              <w:right w:val="single" w:sz="6" w:space="0" w:color="C3C3C3"/>
            </w:tcBorders>
            <w:shd w:val="clear" w:color="auto" w:fill="auto"/>
            <w:tcMar>
              <w:top w:w="75" w:type="dxa"/>
              <w:left w:w="225" w:type="dxa"/>
              <w:bottom w:w="75" w:type="dxa"/>
              <w:right w:w="225" w:type="dxa"/>
            </w:tcMar>
            <w:vAlign w:val="bottom"/>
            <w:hideMark/>
          </w:tcPr>
          <w:p w:rsidR="00337BF1" w:rsidRPr="00337BF1" w:rsidRDefault="00337BF1" w:rsidP="00337BF1">
            <w:pPr>
              <w:spacing w:after="0" w:line="312" w:lineRule="atLeast"/>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t>Darcy DiFede 305-243-9106</w:t>
            </w:r>
          </w:p>
        </w:tc>
      </w:tr>
    </w:tbl>
    <w:p w:rsidR="00337BF1" w:rsidRPr="00337BF1" w:rsidRDefault="00337BF1" w:rsidP="00337BF1">
      <w:pPr>
        <w:shd w:val="clear" w:color="auto" w:fill="FFFFFF"/>
        <w:spacing w:after="0" w:line="312" w:lineRule="atLeast"/>
        <w:textAlignment w:val="baseline"/>
        <w:rPr>
          <w:rFonts w:ascii="Helvetica" w:eastAsia="Times New Roman" w:hAnsi="Helvetica" w:cs="Helvetica"/>
          <w:noProof/>
          <w:color w:val="626262"/>
          <w:sz w:val="20"/>
          <w:szCs w:val="20"/>
        </w:rPr>
      </w:pPr>
      <w:r w:rsidRPr="00337BF1">
        <w:rPr>
          <w:rFonts w:ascii="Helvetica" w:eastAsia="Times New Roman" w:hAnsi="Helvetica" w:cs="Helvetica"/>
          <w:noProof/>
          <w:color w:val="626262"/>
          <w:sz w:val="20"/>
          <w:szCs w:val="20"/>
        </w:rPr>
        <w:lastRenderedPageBreak/>
        <w:t>For more information about our</w:t>
      </w:r>
      <w:r w:rsidRPr="00337BF1">
        <w:rPr>
          <w:rFonts w:ascii="Helvetica" w:eastAsia="Times New Roman" w:hAnsi="Helvetica" w:cs="Helvetica"/>
          <w:noProof/>
          <w:color w:val="626262"/>
          <w:sz w:val="20"/>
        </w:rPr>
        <w:t> ISCI </w:t>
      </w:r>
      <w:r w:rsidRPr="00337BF1">
        <w:rPr>
          <w:rFonts w:ascii="Helvetica" w:eastAsia="Times New Roman" w:hAnsi="Helvetica" w:cs="Helvetica"/>
          <w:noProof/>
          <w:color w:val="626262"/>
          <w:sz w:val="20"/>
          <w:szCs w:val="20"/>
        </w:rPr>
        <w:t>clinical trials, please contact our Research Office at 305-243-9106.</w:t>
      </w:r>
    </w:p>
    <w:p w:rsidR="00107133" w:rsidRPr="00337BF1" w:rsidRDefault="00107133">
      <w:pPr>
        <w:rPr>
          <w:noProof/>
        </w:rPr>
      </w:pPr>
      <w:permStart w:id="0" w:edGrp="everyone"/>
      <w:permEnd w:id="0"/>
    </w:p>
    <w:sectPr w:rsidR="00107133" w:rsidRPr="00337BF1" w:rsidSect="00F64AA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ReyGBX0+lpCVtKbF03aGDU4FkE=" w:salt="Uy1XxRn2WDsvfEILyQH2Bg=="/>
  <w:defaultTabStop w:val="720"/>
  <w:characterSpacingControl w:val="doNotCompress"/>
  <w:compat>
    <w:useFELayout/>
  </w:compat>
  <w:rsids>
    <w:rsidRoot w:val="00337BF1"/>
    <w:rsid w:val="00107133"/>
    <w:rsid w:val="00263EF9"/>
    <w:rsid w:val="00337BF1"/>
    <w:rsid w:val="00F64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A4"/>
  </w:style>
  <w:style w:type="paragraph" w:styleId="Heading3">
    <w:name w:val="heading 3"/>
    <w:basedOn w:val="Normal"/>
    <w:link w:val="Heading3Char"/>
    <w:uiPriority w:val="9"/>
    <w:qFormat/>
    <w:rsid w:val="00337B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B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7BF1"/>
  </w:style>
  <w:style w:type="character" w:styleId="Hyperlink">
    <w:name w:val="Hyperlink"/>
    <w:basedOn w:val="DefaultParagraphFont"/>
    <w:uiPriority w:val="99"/>
    <w:semiHidden/>
    <w:unhideWhenUsed/>
    <w:rsid w:val="00337BF1"/>
    <w:rPr>
      <w:color w:val="0000FF"/>
      <w:u w:val="single"/>
    </w:rPr>
  </w:style>
  <w:style w:type="character" w:customStyle="1" w:styleId="caps">
    <w:name w:val="caps"/>
    <w:basedOn w:val="DefaultParagraphFont"/>
    <w:rsid w:val="00337BF1"/>
  </w:style>
</w:styles>
</file>

<file path=word/webSettings.xml><?xml version="1.0" encoding="utf-8"?>
<w:webSettings xmlns:r="http://schemas.openxmlformats.org/officeDocument/2006/relationships" xmlns:w="http://schemas.openxmlformats.org/wordprocessingml/2006/main">
  <w:divs>
    <w:div w:id="1036083770">
      <w:bodyDiv w:val="1"/>
      <w:marLeft w:val="0"/>
      <w:marRight w:val="0"/>
      <w:marTop w:val="0"/>
      <w:marBottom w:val="0"/>
      <w:divBdr>
        <w:top w:val="none" w:sz="0" w:space="0" w:color="auto"/>
        <w:left w:val="none" w:sz="0" w:space="0" w:color="auto"/>
        <w:bottom w:val="none" w:sz="0" w:space="0" w:color="auto"/>
        <w:right w:val="none" w:sz="0" w:space="0" w:color="auto"/>
      </w:divBdr>
    </w:div>
    <w:div w:id="20775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healthsystem.com/clinical-t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746</Words>
  <Characters>4255</Characters>
  <Application>Microsoft Office Word</Application>
  <DocSecurity>8</DocSecurity>
  <Lines>35</Lines>
  <Paragraphs>9</Paragraphs>
  <ScaleCrop>false</ScaleCrop>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2015-06-03T17:41:00Z</dcterms:created>
  <dcterms:modified xsi:type="dcterms:W3CDTF">2015-06-07T11:18:00Z</dcterms:modified>
</cp:coreProperties>
</file>